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76C82CE4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FD588B">
        <w:rPr>
          <w:rFonts w:ascii="Arial" w:hAnsi="Arial" w:cs="Arial"/>
          <w:b/>
          <w:bCs/>
          <w:sz w:val="22"/>
          <w:szCs w:val="22"/>
        </w:rPr>
        <w:t>4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4DFCE788" w14:textId="77777777" w:rsidR="00FD588B" w:rsidRPr="00D217A8" w:rsidRDefault="00FD588B" w:rsidP="00FD588B">
      <w:pPr>
        <w:tabs>
          <w:tab w:val="left" w:pos="2120"/>
        </w:tabs>
        <w:rPr>
          <w:rFonts w:ascii="Arial" w:hAnsi="Arial" w:cs="Arial"/>
          <w:sz w:val="22"/>
          <w:szCs w:val="22"/>
          <w:shd w:val="clear" w:color="auto" w:fill="FFFFFF"/>
        </w:rPr>
      </w:pPr>
      <w:r w:rsidRPr="00D217A8">
        <w:rPr>
          <w:rFonts w:ascii="Arial" w:hAnsi="Arial" w:cs="Arial"/>
          <w:sz w:val="22"/>
          <w:szCs w:val="22"/>
          <w:shd w:val="clear" w:color="auto" w:fill="FFFFFF"/>
        </w:rPr>
        <w:t xml:space="preserve">Colocalization of the FM-4-64 membrane dye with </w:t>
      </w:r>
      <w:r w:rsidRPr="00D217A8">
        <w:rPr>
          <w:rFonts w:ascii="Arial" w:hAnsi="Arial" w:cs="Arial"/>
          <w:sz w:val="22"/>
          <w:szCs w:val="22"/>
        </w:rPr>
        <w:t xml:space="preserve">PI(3,4)P2-enriched </w:t>
      </w:r>
      <w:r w:rsidRPr="00D217A8">
        <w:rPr>
          <w:rFonts w:ascii="Arial" w:hAnsi="Arial" w:cs="Arial"/>
          <w:sz w:val="22"/>
          <w:szCs w:val="22"/>
          <w:shd w:val="clear" w:color="auto" w:fill="FFFFFF"/>
        </w:rPr>
        <w:t>vesicles at the leading edge of the cells.</w:t>
      </w:r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9070BD"/>
    <w:rsid w:val="00947DF2"/>
    <w:rsid w:val="00D37F91"/>
    <w:rsid w:val="00E037EF"/>
    <w:rsid w:val="00FD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3</cp:revision>
  <dcterms:created xsi:type="dcterms:W3CDTF">2020-08-06T18:52:00Z</dcterms:created>
  <dcterms:modified xsi:type="dcterms:W3CDTF">2020-08-06T18:56:00Z</dcterms:modified>
</cp:coreProperties>
</file>